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7B" w:rsidRDefault="007A16B5">
      <w:pPr>
        <w:framePr w:wrap="none" w:vAnchor="page" w:hAnchor="page" w:x="315" w:y="187"/>
        <w:rPr>
          <w:sz w:val="2"/>
          <w:szCs w:val="2"/>
        </w:rPr>
      </w:pPr>
      <w:r>
        <w:rPr>
          <w:noProof/>
          <w:lang w:val="uk-UA" w:eastAsia="uk-UA"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ЗАТВЕРДЖЕНО</w:t>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від 20.04.2018 № 406</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Типова освітня програма </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закладів </w:t>
      </w:r>
      <w:r w:rsidRPr="007A16B5">
        <w:rPr>
          <w:rFonts w:ascii="Times New Roman" w:eastAsia="Calibri" w:hAnsi="Times New Roman" w:cs="Times New Roman"/>
          <w:b/>
          <w:color w:val="auto"/>
          <w:sz w:val="28"/>
          <w:szCs w:val="28"/>
          <w:lang w:val="uk-UA" w:bidi="ar-SA"/>
        </w:rPr>
        <w:t>загальної середньої освіти І</w:t>
      </w:r>
      <w:r w:rsidRPr="007A16B5">
        <w:rPr>
          <w:rFonts w:ascii="Times New Roman" w:eastAsia="Calibri" w:hAnsi="Times New Roman" w:cs="Times New Roman"/>
          <w:b/>
          <w:bCs/>
          <w:color w:val="auto"/>
          <w:sz w:val="28"/>
          <w:szCs w:val="28"/>
          <w:lang w:val="uk-UA" w:bidi="ar-SA"/>
        </w:rPr>
        <w:t>ІІ ступеня</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7A16B5">
        <w:rPr>
          <w:rFonts w:ascii="Times New Roman" w:eastAsia="Calibri" w:hAnsi="Times New Roman" w:cs="Times New Roman"/>
          <w:bCs/>
          <w:color w:val="auto"/>
          <w:sz w:val="28"/>
          <w:szCs w:val="28"/>
          <w:lang w:val="uk-UA" w:bidi="ar-SA"/>
        </w:rPr>
        <w:br/>
        <w:t xml:space="preserve">закладів </w:t>
      </w:r>
      <w:r w:rsidRPr="007A16B5">
        <w:rPr>
          <w:rFonts w:ascii="Times New Roman" w:eastAsia="Calibri" w:hAnsi="Times New Roman" w:cs="Times New Roman"/>
          <w:color w:val="auto"/>
          <w:sz w:val="28"/>
          <w:szCs w:val="28"/>
          <w:lang w:val="uk-UA" w:bidi="ar-SA"/>
        </w:rPr>
        <w:t xml:space="preserve">загальної середньої освіти </w:t>
      </w:r>
      <w:r w:rsidRPr="007A16B5">
        <w:rPr>
          <w:rFonts w:ascii="Times New Roman" w:eastAsia="Calibri" w:hAnsi="Times New Roman" w:cs="Times New Roman"/>
          <w:bCs/>
          <w:color w:val="auto"/>
          <w:sz w:val="28"/>
          <w:szCs w:val="28"/>
          <w:lang w:val="uk-UA" w:bidi="ar-SA"/>
        </w:rPr>
        <w:t>ІІІ ступеня</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класах з поглибленим вивченням окремих предметів може запроваджуватись шестиденний робочий тиждень.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w:t>
      </w:r>
      <w:r w:rsidRPr="007A16B5">
        <w:rPr>
          <w:rFonts w:ascii="Times New Roman" w:eastAsia="Calibri" w:hAnsi="Times New Roman" w:cs="Times New Roman"/>
          <w:color w:val="auto"/>
          <w:sz w:val="28"/>
          <w:szCs w:val="28"/>
          <w:lang w:val="uk-UA" w:bidi="ar-SA"/>
        </w:rPr>
        <w:lastRenderedPageBreak/>
        <w:t>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0"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A16B5" w:rsidRPr="007A16B5"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w:t>
            </w:r>
            <w:r w:rsidRPr="007A16B5">
              <w:rPr>
                <w:rFonts w:ascii="Times New Roman" w:eastAsia="Calibri" w:hAnsi="Times New Roman" w:cs="Times New Roman"/>
                <w:sz w:val="28"/>
                <w:szCs w:val="28"/>
                <w:lang w:val="uk-UA" w:bidi="ar-SA"/>
              </w:rPr>
              <w:lastRenderedPageBreak/>
              <w:t>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w:t>
            </w:r>
            <w:r w:rsidRPr="007A16B5">
              <w:rPr>
                <w:rFonts w:ascii="Times New Roman" w:eastAsia="Times New Roman" w:hAnsi="Times New Roman" w:cs="Times New Roman"/>
                <w:color w:val="auto"/>
                <w:sz w:val="28"/>
                <w:szCs w:val="28"/>
                <w:highlight w:val="white"/>
                <w:lang w:val="uk-UA" w:bidi="ar-SA"/>
              </w:rPr>
              <w:lastRenderedPageBreak/>
              <w:t>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7A16B5"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 xml:space="preserve">Наскрізні лінії є соціально значимими </w:t>
      </w:r>
      <w:r w:rsidRPr="007A16B5">
        <w:rPr>
          <w:rFonts w:ascii="Times New Roman" w:eastAsia="Times New Roman" w:hAnsi="Times New Roman" w:cs="Times New Roman"/>
          <w:color w:val="auto"/>
          <w:sz w:val="28"/>
          <w:szCs w:val="28"/>
          <w:highlight w:val="white"/>
          <w:lang w:val="ru-RU" w:bidi="ar-SA"/>
        </w:rPr>
        <w:lastRenderedPageBreak/>
        <w:t>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A16B5" w:rsidRPr="007A16B5" w:rsidTr="00735AE0">
        <w:trPr>
          <w:trHeight w:val="20"/>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7A16B5" w:rsidTr="00735AE0">
        <w:trPr>
          <w:cantSplit/>
          <w:trHeight w:val="325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7A16B5"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lastRenderedPageBreak/>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загальної 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7A16B5" w:rsidRPr="007A16B5" w:rsidTr="00735AE0">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7A16B5" w:rsidRPr="007A16B5"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402"/>
      </w:tblGrid>
      <w:tr w:rsidR="007A16B5" w:rsidRPr="007A16B5"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2"/>
          <w:szCs w:val="1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мови корінного народу, національної меншини </w:t>
      </w:r>
    </w:p>
    <w:p w:rsidR="007A16B5" w:rsidRPr="007A16B5" w:rsidRDefault="007A16B5" w:rsidP="007A16B5">
      <w:pPr>
        <w:widowControl/>
        <w:jc w:val="center"/>
        <w:rPr>
          <w:rFonts w:ascii="Times New Roman" w:eastAsia="Calibri" w:hAnsi="Times New Roman" w:cs="Times New Roman"/>
          <w:b/>
          <w:color w:val="auto"/>
          <w:sz w:val="12"/>
          <w:szCs w:val="12"/>
          <w:lang w:val="uk-UA" w:bidi="ar-SA"/>
        </w:rP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339"/>
      </w:tblGrid>
      <w:tr w:rsidR="007A16B5" w:rsidRPr="007A16B5" w:rsidTr="00735AE0">
        <w:trPr>
          <w:cantSplit/>
          <w:trHeight w:val="670"/>
        </w:trPr>
        <w:tc>
          <w:tcPr>
            <w:tcW w:w="6663"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15"/>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може вивчатися інтегрований курс «Література» або курс «Зарубіжна</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2"/>
          <w:szCs w:val="22"/>
          <w:lang w:val="uk-UA" w:bidi="ar-SA"/>
        </w:rPr>
        <w:t xml:space="preserve">література». </w:t>
      </w: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123825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2126"/>
        <w:gridCol w:w="1984"/>
        <w:gridCol w:w="1844"/>
      </w:tblGrid>
      <w:tr w:rsidR="007A16B5" w:rsidRPr="007A16B5"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gridCol w:w="1418"/>
        <w:gridCol w:w="1559"/>
        <w:gridCol w:w="1559"/>
        <w:gridCol w:w="7"/>
      </w:tblGrid>
      <w:tr w:rsidR="007A16B5" w:rsidRPr="007A16B5"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985"/>
        <w:gridCol w:w="2693"/>
        <w:gridCol w:w="1701"/>
      </w:tblGrid>
      <w:tr w:rsidR="007A16B5" w:rsidRPr="007A16B5"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7A16B5" w:rsidRPr="007A16B5"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564"/>
        <w:gridCol w:w="3264"/>
      </w:tblGrid>
      <w:tr w:rsidR="007A16B5" w:rsidRPr="007A16B5"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856"/>
        <w:gridCol w:w="3381"/>
      </w:tblGrid>
      <w:tr w:rsidR="007A16B5" w:rsidRPr="007A16B5"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11</w:t>
      </w:r>
    </w:p>
    <w:p w:rsidR="007A16B5" w:rsidRPr="007A16B5" w:rsidRDefault="007A16B5" w:rsidP="007A16B5">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left="-567" w:right="-285"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Художньо-естетичний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1"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8"/>
        <w:gridCol w:w="4253"/>
      </w:tblGrid>
      <w:tr w:rsidR="007A16B5" w:rsidRPr="007A16B5" w:rsidTr="00017888">
        <w:trPr>
          <w:cantSplit/>
          <w:trHeight w:val="300"/>
        </w:trPr>
        <w:tc>
          <w:tcPr>
            <w:tcW w:w="6238"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4253" w:type="dxa"/>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w:t>
            </w:r>
            <w:r w:rsidRPr="007A16B5">
              <w:rPr>
                <w:rFonts w:ascii="Times New Roman" w:eastAsia="Calibri" w:hAnsi="Times New Roman" w:cs="Times New Roman"/>
                <w:b/>
                <w:color w:val="auto"/>
                <w:sz w:val="28"/>
                <w:szCs w:val="28"/>
                <w:lang w:val="uk-UA" w:bidi="ar-SA"/>
              </w:rPr>
              <w:br/>
              <w:t>у 11 класі</w:t>
            </w:r>
          </w:p>
        </w:tc>
      </w:tr>
      <w:tr w:rsidR="007A16B5" w:rsidRPr="007A16B5" w:rsidTr="00017888">
        <w:trPr>
          <w:cantSplit/>
          <w:trHeight w:val="345"/>
        </w:trPr>
        <w:tc>
          <w:tcPr>
            <w:tcW w:w="6238"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425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Художньо-естетичний профіль</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4253"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4253" w:type="dxa"/>
            <w:vMerge/>
            <w:tcBorders>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Height w:val="248"/>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017888">
        <w:trPr>
          <w:cantSplit/>
          <w:trHeight w:val="495"/>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017888">
      <w:pPr>
        <w:widowControl/>
        <w:ind w:left="284"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9504" behindDoc="0" locked="0" layoutInCell="1" allowOverlap="1">
            <wp:simplePos x="0" y="0"/>
            <wp:positionH relativeFrom="column">
              <wp:posOffset>3398520</wp:posOffset>
            </wp:positionH>
            <wp:positionV relativeFrom="paragraph">
              <wp:posOffset>47625</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Спортивний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756"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2959"/>
        <w:gridCol w:w="2977"/>
      </w:tblGrid>
      <w:tr w:rsidR="007A16B5" w:rsidRPr="007A16B5" w:rsidTr="00017888">
        <w:trPr>
          <w:cantSplit/>
          <w:trHeight w:val="315"/>
        </w:trPr>
        <w:tc>
          <w:tcPr>
            <w:tcW w:w="482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36" w:type="dxa"/>
            <w:gridSpan w:val="2"/>
            <w:tcBorders>
              <w:top w:val="single" w:sz="4" w:space="0" w:color="auto"/>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79"/>
        </w:trPr>
        <w:tc>
          <w:tcPr>
            <w:tcW w:w="4820"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959"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Спортивний профіль</w:t>
            </w:r>
          </w:p>
        </w:tc>
        <w:tc>
          <w:tcPr>
            <w:tcW w:w="2977"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Військово-спортивний профіль</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9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9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2977"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017888">
        <w:trPr>
          <w:cantSplit/>
          <w:trHeight w:val="495"/>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2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0528" behindDoc="0" locked="0" layoutInCell="1" allowOverlap="1">
            <wp:simplePos x="0" y="0"/>
            <wp:positionH relativeFrom="column">
              <wp:posOffset>3337560</wp:posOffset>
            </wp:positionH>
            <wp:positionV relativeFrom="paragraph">
              <wp:posOffset>70485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9"/>
        <w:gridCol w:w="1683"/>
        <w:gridCol w:w="1985"/>
        <w:gridCol w:w="1971"/>
        <w:gridCol w:w="11"/>
        <w:gridCol w:w="8"/>
      </w:tblGrid>
      <w:tr w:rsidR="007A16B5" w:rsidRPr="007A16B5"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270"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7A16B5" w:rsidRPr="007A16B5" w:rsidTr="00017888">
        <w:trPr>
          <w:cantSplit/>
        </w:trPr>
        <w:tc>
          <w:tcPr>
            <w:tcW w:w="6521"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7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7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521" w:type="dxa"/>
            <w:tcBorders>
              <w:top w:val="nil"/>
              <w:left w:val="single" w:sz="4" w:space="0" w:color="auto"/>
              <w:bottom w:val="doub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7,5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017888" w:rsidP="00017888">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2576" behindDoc="0" locked="0" layoutInCell="1" allowOverlap="1">
            <wp:simplePos x="0" y="0"/>
            <wp:positionH relativeFrom="column">
              <wp:posOffset>3375660</wp:posOffset>
            </wp:positionH>
            <wp:positionV relativeFrom="paragraph">
              <wp:posOffset>77470</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15</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567" w:right="-285"/>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з вивченням двох іноземних мов</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633" w:type="dxa"/>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7"/>
        <w:gridCol w:w="3686"/>
      </w:tblGrid>
      <w:tr w:rsidR="007A16B5" w:rsidRPr="007A16B5" w:rsidTr="00017888">
        <w:trPr>
          <w:cantSplit/>
        </w:trPr>
        <w:tc>
          <w:tcPr>
            <w:tcW w:w="6947"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у 11 класі </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9"/>
        </w:trPr>
        <w:tc>
          <w:tcPr>
            <w:tcW w:w="694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6"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6"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7A16B5" w:rsidP="00086E6C">
      <w:pPr>
        <w:widowControl/>
        <w:ind w:left="142"/>
        <w:rPr>
          <w:rFonts w:ascii="Times New Roman" w:eastAsia="Calibri" w:hAnsi="Times New Roman" w:cs="Times New Roman"/>
          <w:color w:val="auto"/>
          <w:sz w:val="22"/>
          <w:szCs w:val="22"/>
          <w:lang w:val="uk-UA" w:eastAsia="uk-UA" w:bidi="ar-SA"/>
        </w:rPr>
      </w:pPr>
    </w:p>
    <w:p w:rsidR="007A16B5" w:rsidRPr="007A16B5" w:rsidRDefault="00086E6C" w:rsidP="00086E6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3600" behindDoc="0" locked="0" layoutInCell="1" allowOverlap="1">
            <wp:simplePos x="0" y="0"/>
            <wp:positionH relativeFrom="column">
              <wp:posOffset>3596640</wp:posOffset>
            </wp:positionH>
            <wp:positionV relativeFrom="paragraph">
              <wp:posOffset>5715</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16</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tabs>
          <w:tab w:val="left" w:pos="-360"/>
        </w:tabs>
        <w:ind w:left="-360"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28"/>
          <w:szCs w:val="28"/>
          <w:lang w:val="uk-UA" w:eastAsia="ru-RU" w:bidi="ar-SA"/>
        </w:rPr>
      </w:pPr>
      <w:r w:rsidRPr="007A16B5">
        <w:rPr>
          <w:rFonts w:ascii="Times New Roman" w:eastAsia="Times New Roman" w:hAnsi="Times New Roman" w:cs="Times New Roman"/>
          <w:b/>
          <w:color w:val="auto"/>
          <w:sz w:val="28"/>
          <w:szCs w:val="28"/>
          <w:lang w:val="uk-UA" w:eastAsia="ru-RU" w:bidi="ar-SA"/>
        </w:rPr>
        <w:t>закладів загальної середньої освіти з навчанням мовою корінного народу, національної меншини (філологічний та технологічний профілі)***</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18"/>
          <w:szCs w:val="18"/>
          <w:lang w:val="uk-UA" w:eastAsia="ru-RU" w:bidi="ar-SA"/>
        </w:rPr>
      </w:pPr>
    </w:p>
    <w:tbl>
      <w:tblPr>
        <w:tblW w:w="10283"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691"/>
        <w:gridCol w:w="2552"/>
      </w:tblGrid>
      <w:tr w:rsidR="007A16B5" w:rsidRPr="007A16B5" w:rsidTr="00086E6C">
        <w:trPr>
          <w:cantSplit/>
          <w:trHeight w:val="330"/>
        </w:trPr>
        <w:tc>
          <w:tcPr>
            <w:tcW w:w="504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3" w:type="dxa"/>
            <w:gridSpan w:val="2"/>
            <w:tcBorders>
              <w:top w:val="single" w:sz="4" w:space="0" w:color="auto"/>
              <w:left w:val="single" w:sz="6" w:space="0" w:color="auto"/>
              <w:bottom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Height w:val="649"/>
        </w:trPr>
        <w:tc>
          <w:tcPr>
            <w:tcW w:w="5040" w:type="dxa"/>
            <w:vMerge/>
            <w:tcBorders>
              <w:left w:val="single" w:sz="4" w:space="0" w:color="auto"/>
              <w:bottom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p>
        </w:tc>
        <w:tc>
          <w:tcPr>
            <w:tcW w:w="2691"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профіль</w:t>
            </w:r>
          </w:p>
        </w:tc>
        <w:tc>
          <w:tcPr>
            <w:tcW w:w="2552"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профіль</w:t>
            </w:r>
          </w:p>
        </w:tc>
      </w:tr>
      <w:tr w:rsidR="007A16B5" w:rsidRPr="007A16B5" w:rsidTr="00086E6C">
        <w:trPr>
          <w:cantSplit/>
        </w:trPr>
        <w:tc>
          <w:tcPr>
            <w:tcW w:w="504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691" w:type="dxa"/>
            <w:vMerge w:val="restart"/>
            <w:tcBorders>
              <w:top w:val="single" w:sz="6" w:space="0" w:color="auto"/>
              <w:left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vMerge w:val="restart"/>
            <w:tcBorders>
              <w:top w:val="single" w:sz="6" w:space="0" w:color="auto"/>
              <w:left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1" w:type="dxa"/>
            <w:vMerge/>
            <w:tcBorders>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c>
          <w:tcPr>
            <w:tcW w:w="2552" w:type="dxa"/>
            <w:vMerge/>
            <w:tcBorders>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tabs>
                <w:tab w:val="left" w:pos="0"/>
              </w:tabs>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086E6C">
        <w:trPr>
          <w:cantSplit/>
          <w:trHeight w:val="495"/>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класу на групи)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У закладі загальної середньої освіти з навчанням мовою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 </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Плани з іншим профільним спрямуванням (біолого-хімічним, правовим, художньо-естетичним тощо) складаються за таким же принципом. </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086E6C" w:rsidP="00086E6C">
      <w:pPr>
        <w:widowControl/>
        <w:ind w:left="142"/>
        <w:rPr>
          <w:rFonts w:ascii="Times New Roman" w:eastAsia="Calibri" w:hAnsi="Times New Roman" w:cs="Times New Roman"/>
          <w:color w:val="auto"/>
          <w:sz w:val="22"/>
          <w:szCs w:val="22"/>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159385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86E6C">
      <w:pPr>
        <w:widowControl/>
        <w:ind w:left="142"/>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685"/>
      </w:tblGrid>
      <w:tr w:rsidR="007A16B5" w:rsidRPr="007A16B5"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284" w:right="-144" w:firstLine="7"/>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3607"/>
      </w:tblGrid>
      <w:tr w:rsidR="007A16B5" w:rsidRPr="007A16B5" w:rsidTr="00735AE0">
        <w:trPr>
          <w:cantSplit/>
        </w:trPr>
        <w:tc>
          <w:tcPr>
            <w:tcW w:w="5103"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485"/>
        </w:trPr>
        <w:tc>
          <w:tcPr>
            <w:tcW w:w="510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07"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07"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Height w:val="495"/>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6672" behindDoc="0" locked="0" layoutInCell="1" allowOverlap="1">
            <wp:simplePos x="0" y="0"/>
            <wp:positionH relativeFrom="column">
              <wp:posOffset>3253740</wp:posOffset>
            </wp:positionH>
            <wp:positionV relativeFrom="paragraph">
              <wp:posOffset>88900</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6"/>
        <w:gridCol w:w="2849"/>
        <w:gridCol w:w="19"/>
      </w:tblGrid>
      <w:tr w:rsidR="007A16B5" w:rsidRPr="007A16B5"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білінгвальних класів 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4"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2734"/>
      </w:tblGrid>
      <w:tr w:rsidR="007A16B5" w:rsidRPr="007A16B5" w:rsidTr="00086E6C">
        <w:trPr>
          <w:cantSplit/>
          <w:trHeight w:val="552"/>
        </w:trPr>
        <w:tc>
          <w:tcPr>
            <w:tcW w:w="8080" w:type="dxa"/>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34" w:type="dxa"/>
            <w:tcBorders>
              <w:top w:val="single" w:sz="4" w:space="0" w:color="auto"/>
              <w:left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73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73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73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8080"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73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Базові курси за вибором закладу загальної середньої освіти (вивчаються іноземною мовою):</w:t>
            </w:r>
          </w:p>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sz w:val="28"/>
                <w:szCs w:val="28"/>
                <w:lang w:val="uk-UA" w:bidi="ar-SA"/>
              </w:rPr>
              <w:t>історія, математика, біологія, географія, фізика, 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 ділова іноземна мова, країнознавство, художня культура, мистецтвознавство тощо</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426" w:right="-37"/>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086E6C" w:rsidP="00086E6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8720" behindDoc="0" locked="0" layoutInCell="1" allowOverlap="1">
            <wp:simplePos x="0" y="0"/>
            <wp:positionH relativeFrom="column">
              <wp:posOffset>3596640</wp:posOffset>
            </wp:positionH>
            <wp:positionV relativeFrom="paragraph">
              <wp:posOffset>76835</wp:posOffset>
            </wp:positionV>
            <wp:extent cx="1257300" cy="590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21</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музичного профілю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9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3132"/>
        <w:gridCol w:w="23"/>
      </w:tblGrid>
      <w:tr w:rsidR="007A16B5" w:rsidRPr="007A16B5" w:rsidTr="007657AB">
        <w:trPr>
          <w:gridAfter w:val="1"/>
          <w:wAfter w:w="23" w:type="dxa"/>
          <w:cantSplit/>
          <w:trHeight w:val="558"/>
        </w:trPr>
        <w:tc>
          <w:tcPr>
            <w:tcW w:w="7797"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132"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952"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132"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132"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132"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1"/>
          <w:wAfter w:w="23" w:type="dxa"/>
          <w:cantSplit/>
        </w:trPr>
        <w:tc>
          <w:tcPr>
            <w:tcW w:w="7797"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cantSplit/>
        </w:trPr>
        <w:tc>
          <w:tcPr>
            <w:tcW w:w="1095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Хоровий спів</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Музичний інструмент</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Сольний спів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музичного мистецтва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ритміка, хореографія, вокальний ансамбль, фольклор та етнографія, інструментальний ансамбль, імпровізація та композиція, театр, кіно і телебачення.</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Крім часу, зазначеного у навчальному плані, додатково виділяється у кожному класі по 2 концертмейстерські години на тиждень.</w:t>
      </w: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657AB" w:rsidP="007657AB">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9744" behindDoc="0" locked="0" layoutInCell="1" allowOverlap="1">
            <wp:simplePos x="0" y="0"/>
            <wp:positionH relativeFrom="column">
              <wp:posOffset>3512820</wp:posOffset>
            </wp:positionH>
            <wp:positionV relativeFrom="paragraph">
              <wp:posOffset>8890</wp:posOffset>
            </wp:positionV>
            <wp:extent cx="1257300" cy="5905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657AB">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22</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художнього профілю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0" w:type="dxa"/>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3274"/>
        <w:gridCol w:w="15"/>
        <w:gridCol w:w="8"/>
      </w:tblGrid>
      <w:tr w:rsidR="007A16B5" w:rsidRPr="007A16B5" w:rsidTr="007657AB">
        <w:trPr>
          <w:gridAfter w:val="2"/>
          <w:wAfter w:w="23" w:type="dxa"/>
          <w:cantSplit/>
          <w:trHeight w:val="559"/>
        </w:trPr>
        <w:tc>
          <w:tcPr>
            <w:tcW w:w="7513"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274"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810" w:type="dxa"/>
            <w:gridSpan w:val="4"/>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27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27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2"/>
          <w:wAfter w:w="23" w:type="dxa"/>
          <w:cantSplit/>
        </w:trPr>
        <w:tc>
          <w:tcPr>
            <w:tcW w:w="7513"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gridAfter w:val="1"/>
          <w:wAfter w:w="8" w:type="dxa"/>
          <w:cantSplit/>
        </w:trPr>
        <w:tc>
          <w:tcPr>
            <w:tcW w:w="1080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Малюнок</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Живопис</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Композиція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Комп’ютерна графіка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2"/>
          <w:wAfter w:w="23" w:type="dxa"/>
          <w:cantSplit/>
          <w:trHeight w:val="221"/>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дизайн, скульптура, декоративно-ужиткове мистецтво, конструювання, історія образотворчого мистецтва, кольорознавство, художня фотографія, театр, кіно і телебачення.</w:t>
      </w: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657AB" w:rsidP="007657A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0768" behindDoc="0" locked="0" layoutInCell="1" allowOverlap="1">
            <wp:simplePos x="0" y="0"/>
            <wp:positionH relativeFrom="column">
              <wp:posOffset>3642360</wp:posOffset>
            </wp:positionH>
            <wp:positionV relativeFrom="paragraph">
              <wp:posOffset>63500</wp:posOffset>
            </wp:positionV>
            <wp:extent cx="1257300" cy="5905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6521"/>
        <w:gridCol w:w="3040"/>
      </w:tblGrid>
      <w:tr w:rsidR="007A16B5" w:rsidRPr="007A16B5"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firstRow="0" w:lastRow="0" w:firstColumn="0" w:lastColumn="0" w:noHBand="0" w:noVBand="0"/>
      </w:tblPr>
      <w:tblGrid>
        <w:gridCol w:w="4689"/>
        <w:gridCol w:w="2551"/>
        <w:gridCol w:w="2534"/>
        <w:gridCol w:w="241"/>
      </w:tblGrid>
      <w:tr w:rsidR="007A16B5" w:rsidRPr="007A16B5"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firstRow="0" w:lastRow="0" w:firstColumn="0" w:lastColumn="0" w:noHBand="0" w:noVBand="0"/>
      </w:tblPr>
      <w:tblGrid>
        <w:gridCol w:w="6109"/>
        <w:gridCol w:w="1986"/>
        <w:gridCol w:w="1843"/>
        <w:gridCol w:w="240"/>
      </w:tblGrid>
      <w:tr w:rsidR="007A16B5" w:rsidRPr="007A16B5"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26</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7A16B5">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9"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1"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2"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3"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4"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румунською мовою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5"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6"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7"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8"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9"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0"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21"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2"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23"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4"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5"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26"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7"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28"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9"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0" w:history="1">
              <w:r w:rsidRPr="007A16B5">
                <w:rPr>
                  <w:rFonts w:ascii="Times New Roman" w:eastAsia="Calibri" w:hAnsi="Times New Roman" w:cs="Times New Roman"/>
                  <w:sz w:val="28"/>
                  <w:szCs w:val="28"/>
                  <w:lang w:val="uk-UA" w:bidi="ar-SA"/>
                </w:rPr>
                <w:t>Психологія</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31"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2"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33"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4"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br/>
            </w:r>
            <w:hyperlink r:id="rId35"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36"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7"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8" w:history="1">
              <w:r w:rsidRPr="007A16B5">
                <w:rPr>
                  <w:rFonts w:ascii="Times New Roman" w:eastAsia="Calibri" w:hAnsi="Times New Roman" w:cs="Times New Roman"/>
                  <w:sz w:val="28"/>
                  <w:szCs w:val="28"/>
                  <w:lang w:val="uk-UA" w:bidi="ar-SA"/>
                </w:rPr>
                <w:t>рівень поглибленого вивчення</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9"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40"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1"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2"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Креслення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43"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44"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5"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6" w:history="1">
              <w:r w:rsidRPr="007A16B5">
                <w:rPr>
                  <w:rFonts w:ascii="Times New Roman" w:eastAsia="Calibri" w:hAnsi="Times New Roman" w:cs="Times New Roman"/>
                  <w:sz w:val="28"/>
                  <w:szCs w:val="28"/>
                  <w:lang w:val="uk-UA" w:bidi="ar-SA"/>
                </w:rPr>
                <w:t>Філософія</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47"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8"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9"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0" w:history="1">
              <w:r w:rsidRPr="007A16B5">
                <w:rPr>
                  <w:rFonts w:ascii="Times New Roman" w:eastAsia="Calibri" w:hAnsi="Times New Roman" w:cs="Times New Roman"/>
                  <w:sz w:val="28"/>
                  <w:szCs w:val="28"/>
                  <w:lang w:val="uk-UA" w:bidi="ar-SA"/>
                </w:rPr>
                <w:t>рівень поглибленого вивчення</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51"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2"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53"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Профільний рівень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54" w:history="1">
              <w:r w:rsidRPr="007A16B5">
                <w:rPr>
                  <w:rFonts w:ascii="Times New Roman" w:eastAsia="Calibri" w:hAnsi="Times New Roman" w:cs="Times New Roman"/>
                  <w:sz w:val="28"/>
                  <w:szCs w:val="28"/>
                  <w:lang w:val="uk-UA" w:bidi="ar-SA"/>
                </w:rPr>
                <w:t>Деревобробка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5" w:history="1">
              <w:r w:rsidRPr="007A16B5">
                <w:rPr>
                  <w:rFonts w:ascii="Times New Roman" w:eastAsia="Calibri" w:hAnsi="Times New Roman" w:cs="Times New Roman"/>
                  <w:sz w:val="28"/>
                  <w:szCs w:val="28"/>
                  <w:lang w:val="uk-UA" w:bidi="ar-SA"/>
                </w:rPr>
                <w:t>Кулінарія</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6" w:history="1">
              <w:r w:rsidRPr="007A16B5">
                <w:rPr>
                  <w:rFonts w:ascii="Times New Roman" w:eastAsia="Calibri" w:hAnsi="Times New Roman" w:cs="Times New Roman"/>
                  <w:sz w:val="28"/>
                  <w:szCs w:val="28"/>
                  <w:lang w:val="uk-UA" w:bidi="ar-SA"/>
                </w:rPr>
                <w:t>Основи дизайну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7" w:history="1">
              <w:r w:rsidRPr="007A16B5">
                <w:rPr>
                  <w:rFonts w:ascii="Times New Roman" w:eastAsia="Calibri" w:hAnsi="Times New Roman" w:cs="Times New Roman"/>
                  <w:sz w:val="28"/>
                  <w:szCs w:val="28"/>
                  <w:lang w:val="uk-UA" w:bidi="ar-SA"/>
                </w:rPr>
                <w:t>Агровиробництво</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8" w:history="1">
              <w:r w:rsidRPr="007A16B5">
                <w:rPr>
                  <w:rFonts w:ascii="Times New Roman" w:eastAsia="Calibri" w:hAnsi="Times New Roman" w:cs="Times New Roman"/>
                  <w:sz w:val="28"/>
                  <w:szCs w:val="28"/>
                  <w:lang w:val="uk-UA" w:bidi="ar-SA"/>
                </w:rPr>
                <w:t>Будівельна справа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9" w:history="1">
              <w:r w:rsidRPr="007A16B5">
                <w:rPr>
                  <w:rFonts w:ascii="Times New Roman" w:eastAsia="Calibri" w:hAnsi="Times New Roman" w:cs="Times New Roman"/>
                  <w:sz w:val="28"/>
                  <w:szCs w:val="28"/>
                  <w:lang w:val="uk-UA" w:bidi="ar-SA"/>
                </w:rPr>
                <w:t>Енергетика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0" w:history="1">
              <w:r w:rsidRPr="007A16B5">
                <w:rPr>
                  <w:rFonts w:ascii="Times New Roman" w:eastAsia="Calibri" w:hAnsi="Times New Roman" w:cs="Times New Roman"/>
                  <w:sz w:val="28"/>
                  <w:szCs w:val="28"/>
                  <w:lang w:val="uk-UA" w:bidi="ar-SA"/>
                </w:rPr>
                <w:t>Конструювання та моделювання одягу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1" w:history="1">
              <w:r w:rsidRPr="007A16B5">
                <w:rPr>
                  <w:rFonts w:ascii="Times New Roman" w:eastAsia="Calibri" w:hAnsi="Times New Roman" w:cs="Times New Roman"/>
                  <w:sz w:val="28"/>
                  <w:szCs w:val="28"/>
                  <w:lang w:val="uk-UA" w:bidi="ar-SA"/>
                </w:rPr>
                <w:t>Легка промисловість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2" w:history="1">
              <w:r w:rsidRPr="007A16B5">
                <w:rPr>
                  <w:rFonts w:ascii="Times New Roman" w:eastAsia="Calibri" w:hAnsi="Times New Roman" w:cs="Times New Roman"/>
                  <w:sz w:val="28"/>
                  <w:szCs w:val="28"/>
                  <w:lang w:val="uk-UA" w:bidi="ar-SA"/>
                </w:rPr>
                <w:t>Матеріалознавсто</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3" w:history="1">
              <w:r w:rsidRPr="007A16B5">
                <w:rPr>
                  <w:rFonts w:ascii="Times New Roman" w:eastAsia="Calibri" w:hAnsi="Times New Roman" w:cs="Times New Roman"/>
                  <w:sz w:val="28"/>
                  <w:szCs w:val="28"/>
                  <w:lang w:val="uk-UA" w:bidi="ar-SA"/>
                </w:rPr>
                <w:t>Металообробка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4" w:history="1">
              <w:r w:rsidRPr="007A16B5">
                <w:rPr>
                  <w:rFonts w:ascii="Times New Roman" w:eastAsia="Calibri" w:hAnsi="Times New Roman" w:cs="Times New Roman"/>
                  <w:sz w:val="28"/>
                  <w:szCs w:val="28"/>
                  <w:lang w:val="uk-UA" w:bidi="ar-SA"/>
                </w:rPr>
                <w:t>Основи бджільництва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5" w:history="1">
              <w:r w:rsidRPr="007A16B5">
                <w:rPr>
                  <w:rFonts w:ascii="Times New Roman" w:eastAsia="Calibri" w:hAnsi="Times New Roman" w:cs="Times New Roman"/>
                  <w:sz w:val="28"/>
                  <w:szCs w:val="28"/>
                  <w:lang w:val="uk-UA" w:bidi="ar-SA"/>
                </w:rPr>
                <w:t>Технічне проектування</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6" w:history="1">
              <w:r w:rsidRPr="007A16B5">
                <w:rPr>
                  <w:rFonts w:ascii="Times New Roman" w:eastAsia="Calibri" w:hAnsi="Times New Roman" w:cs="Times New Roman"/>
                  <w:sz w:val="28"/>
                  <w:szCs w:val="28"/>
                  <w:lang w:val="uk-UA" w:bidi="ar-SA"/>
                </w:rPr>
                <w:t>Українська народна вишивка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7" w:history="1">
              <w:r w:rsidRPr="007A16B5">
                <w:rPr>
                  <w:rFonts w:ascii="Times New Roman" w:eastAsia="Calibri" w:hAnsi="Times New Roman" w:cs="Times New Roman"/>
                  <w:sz w:val="28"/>
                  <w:szCs w:val="28"/>
                  <w:lang w:val="uk-UA" w:bidi="ar-SA"/>
                </w:rPr>
                <w:t>Художня обробка матеріалів</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8" w:history="1">
              <w:r w:rsidRPr="007A16B5">
                <w:rPr>
                  <w:rFonts w:ascii="Times New Roman" w:eastAsia="Calibri" w:hAnsi="Times New Roman" w:cs="Times New Roman"/>
                  <w:sz w:val="28"/>
                  <w:szCs w:val="28"/>
                  <w:lang w:val="uk-UA" w:bidi="ar-SA"/>
                </w:rPr>
                <w:t>Швейна справа</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69"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70"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71"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72" w:history="1">
              <w:r w:rsidRPr="007A16B5">
                <w:rPr>
                  <w:rFonts w:ascii="Times New Roman" w:eastAsia="Calibri" w:hAnsi="Times New Roman" w:cs="Times New Roman"/>
                  <w:sz w:val="28"/>
                  <w:szCs w:val="28"/>
                  <w:lang w:val="uk-UA" w:bidi="ar-SA"/>
                </w:rPr>
                <w:t>пояснювальна записка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73"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74"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75"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76"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77"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78"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79"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80" w:history="1">
              <w:r w:rsidRPr="007A16B5">
                <w:rPr>
                  <w:rFonts w:ascii="Times New Roman" w:eastAsia="Calibri" w:hAnsi="Times New Roman" w:cs="Times New Roman"/>
                  <w:sz w:val="28"/>
                  <w:szCs w:val="28"/>
                  <w:lang w:val="uk-UA" w:bidi="ar-SA"/>
                </w:rPr>
                <w:t>поглиблене вивчення</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81"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82"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83"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84" w:history="1">
              <w:r w:rsidRPr="007A16B5">
                <w:rPr>
                  <w:rFonts w:ascii="Times New Roman" w:eastAsia="Calibri" w:hAnsi="Times New Roman" w:cs="Times New Roman"/>
                  <w:sz w:val="28"/>
                  <w:szCs w:val="28"/>
                  <w:lang w:val="uk-UA" w:bidi="ar-SA"/>
                </w:rPr>
                <w:t>Естетика</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Кримськотатарська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85"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86"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Література (болгарська)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87"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(кримськотатарська та зарубіжна)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88"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89"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(молдовська та зарубіжна)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90"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91"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92"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(румунська та зарубіжна)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93"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94"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(словацька та зарубіжна)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95"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(угорська та зарубіжна)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96" w:history="1">
              <w:r w:rsidRPr="007A16B5">
                <w:rPr>
                  <w:rFonts w:ascii="Times New Roman" w:eastAsia="Calibri" w:hAnsi="Times New Roman" w:cs="Times New Roman"/>
                  <w:sz w:val="28"/>
                  <w:szCs w:val="28"/>
                  <w:lang w:val="uk-UA" w:bidi="ar-SA"/>
                </w:rPr>
                <w:t>рівень стандарту/академічний рівень</w:t>
              </w:r>
            </w:hyperlink>
            <w:r w:rsidRPr="007A16B5">
              <w:rPr>
                <w:rFonts w:ascii="Times New Roman" w:eastAsia="Calibri" w:hAnsi="Times New Roman" w:cs="Times New Roman"/>
                <w:color w:val="auto"/>
                <w:sz w:val="28"/>
                <w:szCs w:val="28"/>
                <w:lang w:val="uk-UA" w:bidi="ar-SA"/>
              </w:rPr>
              <w:br/>
            </w:r>
            <w:hyperlink r:id="rId97" w:history="1">
              <w:r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національних меншин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98" w:history="1">
              <w:r w:rsidRPr="007A16B5">
                <w:rPr>
                  <w:rFonts w:ascii="Times New Roman" w:eastAsia="Calibri" w:hAnsi="Times New Roman" w:cs="Times New Roman"/>
                  <w:sz w:val="28"/>
                  <w:szCs w:val="28"/>
                  <w:lang w:val="uk-UA" w:bidi="ar-SA"/>
                </w:rPr>
                <w:t>болгарська мова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99" w:history="1">
              <w:r w:rsidRPr="007A16B5">
                <w:rPr>
                  <w:rFonts w:ascii="Times New Roman" w:eastAsia="Calibri" w:hAnsi="Times New Roman" w:cs="Times New Roman"/>
                  <w:sz w:val="28"/>
                  <w:szCs w:val="28"/>
                  <w:lang w:val="uk-UA" w:bidi="ar-SA"/>
                </w:rPr>
                <w:t>гагаузька мова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0" w:history="1">
              <w:r w:rsidRPr="007A16B5">
                <w:rPr>
                  <w:rFonts w:ascii="Times New Roman" w:eastAsia="Calibri" w:hAnsi="Times New Roman" w:cs="Times New Roman"/>
                  <w:sz w:val="28"/>
                  <w:szCs w:val="28"/>
                  <w:lang w:val="uk-UA" w:bidi="ar-SA"/>
                </w:rPr>
                <w:t>iврит</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1" w:history="1">
              <w:r w:rsidRPr="007A16B5">
                <w:rPr>
                  <w:rFonts w:ascii="Times New Roman" w:eastAsia="Calibri" w:hAnsi="Times New Roman" w:cs="Times New Roman"/>
                  <w:sz w:val="28"/>
                  <w:szCs w:val="28"/>
                  <w:lang w:val="uk-UA" w:bidi="ar-SA"/>
                </w:rPr>
                <w:t>молдовська мова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2" w:history="1">
              <w:r w:rsidRPr="007A16B5">
                <w:rPr>
                  <w:rFonts w:ascii="Times New Roman" w:eastAsia="Calibri" w:hAnsi="Times New Roman" w:cs="Times New Roman"/>
                  <w:sz w:val="28"/>
                  <w:szCs w:val="28"/>
                  <w:lang w:val="uk-UA" w:bidi="ar-SA"/>
                </w:rPr>
                <w:t>новогрецька мова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3" w:history="1">
              <w:r w:rsidRPr="007A16B5">
                <w:rPr>
                  <w:rFonts w:ascii="Times New Roman" w:eastAsia="Calibri" w:hAnsi="Times New Roman" w:cs="Times New Roman"/>
                  <w:sz w:val="28"/>
                  <w:szCs w:val="28"/>
                  <w:lang w:val="uk-UA" w:bidi="ar-SA"/>
                </w:rPr>
                <w:t>ромська мова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4" w:history="1">
              <w:r w:rsidRPr="007A16B5">
                <w:rPr>
                  <w:rFonts w:ascii="Times New Roman" w:eastAsia="Calibri" w:hAnsi="Times New Roman" w:cs="Times New Roman"/>
                  <w:sz w:val="28"/>
                  <w:szCs w:val="28"/>
                  <w:lang w:val="uk-UA" w:bidi="ar-SA"/>
                </w:rPr>
                <w:t>словацька мова</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Молдовська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Польська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05"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6"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07" w:history="1">
              <w:r w:rsidRPr="007A16B5">
                <w:rPr>
                  <w:rFonts w:ascii="Times New Roman" w:eastAsia="Calibri" w:hAnsi="Times New Roman" w:cs="Times New Roman"/>
                  <w:sz w:val="28"/>
                  <w:szCs w:val="28"/>
                  <w:lang w:val="uk-UA" w:bidi="ar-SA"/>
                </w:rPr>
                <w:t>для курсу 1-11 кл.</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8" w:history="1">
              <w:r w:rsidRPr="007A16B5">
                <w:rPr>
                  <w:rFonts w:ascii="Times New Roman" w:eastAsia="Calibri" w:hAnsi="Times New Roman" w:cs="Times New Roman"/>
                  <w:sz w:val="28"/>
                  <w:szCs w:val="28"/>
                  <w:lang w:val="uk-UA" w:bidi="ar-SA"/>
                </w:rPr>
                <w:t>для курсу 5-11 кл.</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09"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10"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11"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Румунська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12"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13"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Угорська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14"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15"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16" w:history="1">
              <w:r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17"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18"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19"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20"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21"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Французька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22"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23"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Іспанська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24"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25"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26" w:history="1">
              <w:r w:rsidRPr="007A16B5">
                <w:rPr>
                  <w:rFonts w:ascii="Times New Roman" w:eastAsia="Calibri" w:hAnsi="Times New Roman" w:cs="Times New Roman"/>
                  <w:sz w:val="28"/>
                  <w:szCs w:val="28"/>
                  <w:lang w:val="uk-UA" w:bidi="ar-SA"/>
                </w:rPr>
                <w:t>pівень стандарту</w:t>
              </w:r>
            </w:hyperlink>
            <w:r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Профільний рівень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hyperlink r:id="rId127" w:history="1">
              <w:r w:rsidRPr="007A16B5">
                <w:rPr>
                  <w:rFonts w:ascii="Times New Roman" w:eastAsia="Calibri" w:hAnsi="Times New Roman" w:cs="Times New Roman"/>
                  <w:sz w:val="28"/>
                  <w:szCs w:val="28"/>
                  <w:lang w:val="uk-UA" w:bidi="ar-SA"/>
                </w:rPr>
                <w:t>Англійська мова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28" w:history="1">
              <w:r w:rsidRPr="007A16B5">
                <w:rPr>
                  <w:rFonts w:ascii="Times New Roman" w:eastAsia="Calibri" w:hAnsi="Times New Roman" w:cs="Times New Roman"/>
                  <w:sz w:val="28"/>
                  <w:szCs w:val="28"/>
                  <w:lang w:val="uk-UA" w:bidi="ar-SA"/>
                </w:rPr>
                <w:t>Англійська у світі інформаційних технологій</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29" w:history="1">
              <w:r w:rsidRPr="007A16B5">
                <w:rPr>
                  <w:rFonts w:ascii="Times New Roman" w:eastAsia="Calibri" w:hAnsi="Times New Roman" w:cs="Times New Roman"/>
                  <w:sz w:val="28"/>
                  <w:szCs w:val="28"/>
                  <w:lang w:val="uk-UA" w:bidi="ar-SA"/>
                </w:rPr>
                <w:t>Ділова англійська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30" w:history="1">
              <w:r w:rsidRPr="007A16B5">
                <w:rPr>
                  <w:rFonts w:ascii="Times New Roman" w:eastAsia="Calibri" w:hAnsi="Times New Roman" w:cs="Times New Roman"/>
                  <w:sz w:val="28"/>
                  <w:szCs w:val="28"/>
                  <w:lang w:val="uk-UA" w:bidi="ar-SA"/>
                </w:rPr>
                <w:t>Культурознавство країни, мова якої вивчається</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31" w:history="1">
              <w:r w:rsidRPr="007A16B5">
                <w:rPr>
                  <w:rFonts w:ascii="Times New Roman" w:eastAsia="Calibri" w:hAnsi="Times New Roman" w:cs="Times New Roman"/>
                  <w:sz w:val="28"/>
                  <w:szCs w:val="28"/>
                  <w:lang w:val="uk-UA" w:bidi="ar-SA"/>
                </w:rPr>
                <w:t>Література країни, мова якої вивчається</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32" w:history="1">
              <w:r w:rsidRPr="007A16B5">
                <w:rPr>
                  <w:rFonts w:ascii="Times New Roman" w:eastAsia="Calibri" w:hAnsi="Times New Roman" w:cs="Times New Roman"/>
                  <w:sz w:val="28"/>
                  <w:szCs w:val="28"/>
                  <w:lang w:val="uk-UA" w:bidi="ar-SA"/>
                </w:rPr>
                <w:t>Програма курсу «Гіди-перекладачі»</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33" w:history="1">
              <w:r w:rsidRPr="007A16B5">
                <w:rPr>
                  <w:rFonts w:ascii="Times New Roman" w:eastAsia="Calibri" w:hAnsi="Times New Roman" w:cs="Times New Roman"/>
                  <w:sz w:val="28"/>
                  <w:szCs w:val="28"/>
                  <w:lang w:val="uk-UA" w:bidi="ar-SA"/>
                </w:rPr>
                <w:t>Німецька мова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34" w:history="1">
              <w:r w:rsidRPr="007A16B5">
                <w:rPr>
                  <w:rFonts w:ascii="Times New Roman" w:eastAsia="Calibri" w:hAnsi="Times New Roman" w:cs="Times New Roman"/>
                  <w:sz w:val="28"/>
                  <w:szCs w:val="28"/>
                  <w:lang w:val="uk-UA" w:bidi="ar-SA"/>
                </w:rPr>
                <w:t>Французька мова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35" w:history="1">
              <w:r w:rsidRPr="007A16B5">
                <w:rPr>
                  <w:rFonts w:ascii="Times New Roman" w:eastAsia="Calibri" w:hAnsi="Times New Roman" w:cs="Times New Roman"/>
                  <w:sz w:val="28"/>
                  <w:szCs w:val="28"/>
                  <w:lang w:val="uk-UA" w:bidi="ar-SA"/>
                </w:rPr>
                <w:t>Іспанська мова</w:t>
              </w:r>
            </w:hyperlink>
            <w:r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0B6ADC" w:rsidP="007A16B5">
      <w:pPr>
        <w:widowControl/>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uk-UA" w:eastAsia="uk-UA" w:bidi="ar-SA"/>
        </w:rPr>
        <w:drawing>
          <wp:anchor distT="0" distB="0" distL="114300" distR="114300" simplePos="0" relativeHeight="251684864" behindDoc="0" locked="0" layoutInCell="1" allowOverlap="1">
            <wp:simplePos x="0" y="0"/>
            <wp:positionH relativeFrom="column">
              <wp:posOffset>3208020</wp:posOffset>
            </wp:positionH>
            <wp:positionV relativeFrom="paragraph">
              <wp:posOffset>63500</wp:posOffset>
            </wp:positionV>
            <wp:extent cx="1257300" cy="5905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bookmarkEnd w:id="1"/>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A87F7B" w:rsidRPr="007A16B5" w:rsidRDefault="00A87F7B">
      <w:pPr>
        <w:rPr>
          <w:sz w:val="2"/>
          <w:szCs w:val="2"/>
          <w:lang w:val="uk-UA"/>
        </w:rPr>
      </w:pPr>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DE" w:rsidRDefault="009B6ADE">
      <w:r>
        <w:separator/>
      </w:r>
    </w:p>
  </w:endnote>
  <w:endnote w:type="continuationSeparator" w:id="0">
    <w:p w:rsidR="009B6ADE" w:rsidRDefault="009B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DE" w:rsidRDefault="009B6ADE"/>
  </w:footnote>
  <w:footnote w:type="continuationSeparator" w:id="0">
    <w:p w:rsidR="009B6ADE" w:rsidRDefault="009B6A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lvlOverride w:ilvl="2"/>
    <w:lvlOverride w:ilvl="3"/>
    <w:lvlOverride w:ilvl="4"/>
    <w:lvlOverride w:ilvl="5"/>
    <w:lvlOverride w:ilvl="6"/>
    <w:lvlOverride w:ilvl="7"/>
    <w:lvlOverride w:ilvl="8"/>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7B"/>
    <w:rsid w:val="00017888"/>
    <w:rsid w:val="00086E6C"/>
    <w:rsid w:val="000B6ADC"/>
    <w:rsid w:val="001F0966"/>
    <w:rsid w:val="0026145F"/>
    <w:rsid w:val="00422697"/>
    <w:rsid w:val="006D36EE"/>
    <w:rsid w:val="00735AE0"/>
    <w:rsid w:val="007657AB"/>
    <w:rsid w:val="007A16B5"/>
    <w:rsid w:val="009B6ADE"/>
    <w:rsid w:val="00A87F7B"/>
    <w:rsid w:val="00C21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2EBF"/>
  <w15:docId w15:val="{9376A75F-89F5-44AE-B712-08A4D80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ListParagraph">
    <w:name w:val="List Paragraph"/>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8"/>
    <w:locked/>
    <w:rsid w:val="007A16B5"/>
    <w:rPr>
      <w:sz w:val="26"/>
      <w:szCs w:val="26"/>
      <w:shd w:val="clear" w:color="auto" w:fill="FFFFFF"/>
      <w:lang w:bidi="ar-SA"/>
    </w:rPr>
  </w:style>
  <w:style w:type="paragraph" w:customStyle="1" w:styleId="18">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on.gov.ua/storage/app/media/zagalna%20serednya/programy-10-11-klas/1-inoz-st.pdf" TargetMode="External"/><Relationship Id="rId21" Type="http://schemas.openxmlformats.org/officeDocument/2006/relationships/hyperlink" Target="https://mon.gov.ua/storage/app/media/zagalna%20serednya/programy-10-11-klas/ast-ak.pdf" TargetMode="External"/><Relationship Id="rId42" Type="http://schemas.openxmlformats.org/officeDocument/2006/relationships/hyperlink" Target="https://mon.gov.ua/storage/app/media/zagalna%20serednya/programy-10-11-klas/p-stor-ya-ukra-ni-10-11-lipen-2016-prof-l.docx" TargetMode="External"/><Relationship Id="rId63" Type="http://schemas.openxmlformats.org/officeDocument/2006/relationships/hyperlink" Target="https://mon.gov.ua/storage/app/media/zagalna%20serednya/programy-10-11-klas/metal.pdf" TargetMode="External"/><Relationship Id="rId84" Type="http://schemas.openxmlformats.org/officeDocument/2006/relationships/hyperlink" Target="https://mon.gov.ua/storage/app/media/zagalna%20serednya/programy-10-11-klas/estet-pr.pdf" TargetMode="External"/><Relationship Id="rId16" Type="http://schemas.openxmlformats.org/officeDocument/2006/relationships/hyperlink" Target="https://mon.gov.ua/storage/app/media/zagalna%20serednya/programy-10-11-klas/programa.-ukrayinska-mova-v-znz-z-rumunskoyu-movoyu-navchannya-.akademichnij-riven.doc" TargetMode="External"/><Relationship Id="rId107" Type="http://schemas.openxmlformats.org/officeDocument/2006/relationships/hyperlink" Target="https://mon.gov.ua/storage/app/media/zagalna%20serednya/programy-10-11-klas/ros-mova-riven-standartu-10-11-dlya-ukr-shkil-po.doc" TargetMode="External"/><Relationship Id="rId11" Type="http://schemas.openxmlformats.org/officeDocument/2006/relationships/hyperlink" Target="https://mon.gov.ua/storage/app/media/zagalna%20serednya/programy-10-11-klas/programa-ukrayinska-mova-v-znz-z-molodovskoyu-movoyu-navchannya-riven-standartu.doc" TargetMode="External"/><Relationship Id="rId32" Type="http://schemas.openxmlformats.org/officeDocument/2006/relationships/hyperlink" Target="https://mon.gov.ua/storage/app/media/zagalna%20serednya/programy-10-11-klas/eko-pr.pdf" TargetMode="External"/><Relationship Id="rId37" Type="http://schemas.openxmlformats.org/officeDocument/2006/relationships/hyperlink" Target="https://mon.gov.ua/storage/app/media/zagalna%20serednya/programy-10-11-klas/inf-ak.pdf" TargetMode="External"/><Relationship Id="rId53" Type="http://schemas.openxmlformats.org/officeDocument/2006/relationships/hyperlink" Target="https://mon.gov.ua/storage/app/media/zagalna%20serednya/programy-10-11-klas/tech-st-ak.pdf" TargetMode="External"/><Relationship Id="rId58" Type="http://schemas.openxmlformats.org/officeDocument/2006/relationships/hyperlink" Target="https://mon.gov.ua/storage/app/media/zagalna%20serednya/programy-10-11-klas/bud-sp.pdf" TargetMode="External"/><Relationship Id="rId74" Type="http://schemas.openxmlformats.org/officeDocument/2006/relationships/hyperlink" Target="https://mon.gov.ua/storage/app/media/zagalna%20serednya/programy-10-11-klas/fiz-pr.pdf" TargetMode="External"/><Relationship Id="rId79" Type="http://schemas.openxmlformats.org/officeDocument/2006/relationships/hyperlink" Target="https://mon.gov.ua/storage/app/media/zagalna%20serednya/programy-10-11-klas/himia-pr.pdf" TargetMode="External"/><Relationship Id="rId102" Type="http://schemas.openxmlformats.org/officeDocument/2006/relationships/hyperlink" Target="https://mon.gov.ua/storage/app/media/zagalna%20serednya/programy-10-11-klas/navchalna-programa-z-novogreczkoyi-movi-dlya-10-11-klasiv.doc" TargetMode="External"/><Relationship Id="rId123" Type="http://schemas.openxmlformats.org/officeDocument/2006/relationships/hyperlink" Target="https://mon.gov.ua/storage/app/media/zagalna%20serednya/programy-10-11-klas/1-fr-pr.pdf" TargetMode="External"/><Relationship Id="rId128" Type="http://schemas.openxmlformats.org/officeDocument/2006/relationships/hyperlink" Target="https://mon.gov.ua/storage/app/media/zagalna%20serednya/programy-10-11-klas/anglijska-u-sviti-informaczijnix-texnologij.doc" TargetMode="External"/><Relationship Id="rId5" Type="http://schemas.openxmlformats.org/officeDocument/2006/relationships/footnotes" Target="footnotes.xml"/><Relationship Id="rId90" Type="http://schemas.openxmlformats.org/officeDocument/2006/relationships/hyperlink" Target="https://mon.gov.ua/storage/app/media/zagalna%20serednya/programy-10-11-klas/literatura-moldovska-ta-zarubizhna.docx" TargetMode="External"/><Relationship Id="rId95" Type="http://schemas.openxmlformats.org/officeDocument/2006/relationships/hyperlink" Target="https://mon.gov.ua/storage/app/media/zagalna%20serednya/programy-10-11-klas/literatura-slovatska-ta-zarubizhna-riven-standartu-zi-zminami-2016.docx" TargetMode="External"/><Relationship Id="rId22" Type="http://schemas.openxmlformats.org/officeDocument/2006/relationships/hyperlink" Target="https://mon.gov.ua/storage/app/media/zagalna%20serednya/programy-10-11-klas/ast-pr.pdf" TargetMode="External"/><Relationship Id="rId27" Type="http://schemas.openxmlformats.org/officeDocument/2006/relationships/hyperlink" Target="https://mon.gov.ua/storage/app/media/zagalna%20serednya/programy-10-11-klas/3-0-prof-vsesv-tnya-stor-ya-10-11-prof-l-lipen-2016.docx" TargetMode="External"/><Relationship Id="rId43" Type="http://schemas.openxmlformats.org/officeDocument/2006/relationships/hyperlink" Target="https://mon.gov.ua/storage/app/media/zagalna%20serednya/programy-10-11-klas/programa-kreslennya-11-kl.pdf" TargetMode="External"/><Relationship Id="rId48" Type="http://schemas.openxmlformats.org/officeDocument/2006/relationships/hyperlink" Target="https://mon.gov.ua/storage/app/media/zagalna%20serednya/programy-10-11-klas/matematika-akademichnij-riven.docx" TargetMode="External"/><Relationship Id="rId64" Type="http://schemas.openxmlformats.org/officeDocument/2006/relationships/hyperlink" Target="https://mon.gov.ua/storage/app/media/zagalna%20serednya/programy-10-11-klas/bdjil.pdf" TargetMode="External"/><Relationship Id="rId69" Type="http://schemas.openxmlformats.org/officeDocument/2006/relationships/hyperlink" Target="https://mon.gov.ua/storage/app/media/zagalna%20serednya/programy-10-11-klas/s-a-programi-ukrayinska-literatura.doc" TargetMode="External"/><Relationship Id="rId113" Type="http://schemas.openxmlformats.org/officeDocument/2006/relationships/hyperlink" Target="https://mon.gov.ua/storage/app/media/zagalna%20serednya/programy-10-11-klas/rum-m-pr.pdf" TargetMode="External"/><Relationship Id="rId118" Type="http://schemas.openxmlformats.org/officeDocument/2006/relationships/hyperlink" Target="https://mon.gov.ua/storage/app/media/zagalna%20serednya/programy-10-11-klas/1-eng-ak.pdf" TargetMode="External"/><Relationship Id="rId134" Type="http://schemas.openxmlformats.org/officeDocument/2006/relationships/hyperlink" Target="https://mon.gov.ua/storage/app/media/zagalna%20serednya/programy-10-11-klas/2-fr-pr.pdf" TargetMode="External"/><Relationship Id="rId80" Type="http://schemas.openxmlformats.org/officeDocument/2006/relationships/hyperlink" Target="https://mon.gov.ua/storage/app/media/zagalna%20serednya/programy-10-11-klas/himia-pogl.pdf" TargetMode="External"/><Relationship Id="rId85" Type="http://schemas.openxmlformats.org/officeDocument/2006/relationships/hyperlink" Target="https://mon.gov.ua/storage/app/media/zagalna%20serednya/programy-10-11-klas/kt-m-st.pdf" TargetMode="External"/><Relationship Id="rId12" Type="http://schemas.openxmlformats.org/officeDocument/2006/relationships/hyperlink" Target="https://mon.gov.ua/storage/app/media/zagalna%20serednya/programy-10-11-klas/programa.-ukrayinska-mova-v-znz-z-moldovskoyu-movoyu-navchannya.-akademichnij-riven.doc" TargetMode="External"/><Relationship Id="rId17" Type="http://schemas.openxmlformats.org/officeDocument/2006/relationships/hyperlink" Target="https://mon.gov.ua/storage/app/media/zagalna%20serednya/programy-10-11-klas/programa.-ukrayinska-mova-v-znz-z-rosijskoyu-movoyu-navchannya..doc" TargetMode="External"/><Relationship Id="rId33" Type="http://schemas.openxmlformats.org/officeDocument/2006/relationships/hyperlink" Target="https://mon.gov.ua/storage/app/media/zagalna%20serednya/programy-10-11-klas/z-2-3-programa-10-11.doc" TargetMode="External"/><Relationship Id="rId38" Type="http://schemas.openxmlformats.org/officeDocument/2006/relationships/hyperlink" Target="https://mon.gov.ua/storage/app/media/zagalna%20serednya/programy-10-11-klas/inf-pogl.pdf" TargetMode="External"/><Relationship Id="rId59" Type="http://schemas.openxmlformats.org/officeDocument/2006/relationships/hyperlink" Target="https://mon.gov.ua/storage/app/media/zagalna%20serednya/programy-10-11-klas/energ.pdf" TargetMode="External"/><Relationship Id="rId103" Type="http://schemas.openxmlformats.org/officeDocument/2006/relationships/hyperlink" Target="https://mon.gov.ua/storage/app/media/zagalna%20serednya/programy-10-11-klas/romska-mova-zi-zminami-2016-r.doc" TargetMode="External"/><Relationship Id="rId108" Type="http://schemas.openxmlformats.org/officeDocument/2006/relationships/hyperlink" Target="https://mon.gov.ua/storage/app/media/zagalna%20serednya/programy-10-11-klas/rosijska-mova-5-11-klasi-zi-zminami-2016-r.doc" TargetMode="External"/><Relationship Id="rId124" Type="http://schemas.openxmlformats.org/officeDocument/2006/relationships/hyperlink" Target="https://mon.gov.ua/storage/app/media/zagalna%20serednya/programy-10-11-klas/1-isp-ak.pdf" TargetMode="External"/><Relationship Id="rId129" Type="http://schemas.openxmlformats.org/officeDocument/2006/relationships/hyperlink" Target="https://mon.gov.ua/storage/app/media/zagalna%20serednya/programy-10-11-klas/dilova-anglijska.doc" TargetMode="External"/><Relationship Id="rId54" Type="http://schemas.openxmlformats.org/officeDocument/2006/relationships/hyperlink" Target="https://mon.gov.ua/storage/app/media/zagalna%20serednya/programy-10-11-klas/derevo.pdf" TargetMode="External"/><Relationship Id="rId70" Type="http://schemas.openxmlformats.org/officeDocument/2006/relationships/hyperlink" Target="https://mon.gov.ua/storage/app/media/zagalna%20serednya/programy-10-11-klas/program-ukr-lit1.pdf" TargetMode="External"/><Relationship Id="rId75" Type="http://schemas.openxmlformats.org/officeDocument/2006/relationships/hyperlink" Target="https://mon.gov.ua/storage/app/media/zagalna%20serednya/programy-10-11-klas/fizk-st.pdf" TargetMode="External"/><Relationship Id="rId91" Type="http://schemas.openxmlformats.org/officeDocument/2006/relationships/hyperlink" Target="https://mon.gov.ua/storage/app/media/zagalna%20serednya/programy-10-11-klas/r-2-3-literatura-rosiyska-ta-zarubizhna-riven-standartu-akademichniy-riven-zi-zminami.doc" TargetMode="External"/><Relationship Id="rId96" Type="http://schemas.openxmlformats.org/officeDocument/2006/relationships/hyperlink" Target="https://mon.gov.ua/storage/app/media/zagalna%20serednya/programy-10-11-klas/literatura-ugorska-ta-zarubizhna-10-11-klasi.do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on.gov.ua/storage/app/media/zagalna%20serednya/programy-10-11-klas/biology-st-16.08.2016.docx" TargetMode="External"/><Relationship Id="rId28" Type="http://schemas.openxmlformats.org/officeDocument/2006/relationships/hyperlink" Target="https://mon.gov.ua/storage/app/media/zagalna%20serednya/programy-10-11-klas/ak-10-programa-10-z-vnesenimi-pravkami-14.07.2016.doc" TargetMode="External"/><Relationship Id="rId49" Type="http://schemas.openxmlformats.org/officeDocument/2006/relationships/hyperlink" Target="https://mon.gov.ua/storage/app/media/zagalna%20serednya/programy-10-11-klas/matematika-profilnij-riven.docx" TargetMode="External"/><Relationship Id="rId114" Type="http://schemas.openxmlformats.org/officeDocument/2006/relationships/hyperlink" Target="https://mon.gov.ua/storage/app/media/zagalna%20serednya/programy-10-11-klas/ugorska-mova-dlya-znz-z-navchannyam-ugorskoyu-movoyu-10-11-klasi.doc" TargetMode="External"/><Relationship Id="rId119" Type="http://schemas.openxmlformats.org/officeDocument/2006/relationships/hyperlink" Target="https://mon.gov.ua/storage/app/media/zagalna%20serednya/programy-10-11-klas/1-eng-pr.pdf" TargetMode="External"/><Relationship Id="rId44" Type="http://schemas.openxmlformats.org/officeDocument/2006/relationships/hyperlink" Target="https://mon.gov.ua/storage/app/media/zagalna%20serednya/programy-10-11-klas/lud-svit-st-ak.pdf" TargetMode="External"/><Relationship Id="rId60" Type="http://schemas.openxmlformats.org/officeDocument/2006/relationships/hyperlink" Target="https://mon.gov.ua/storage/app/media/zagalna%20serednya/programy-10-11-klas/model.pdf" TargetMode="External"/><Relationship Id="rId65" Type="http://schemas.openxmlformats.org/officeDocument/2006/relationships/hyperlink" Target="https://mon.gov.ua/storage/app/media/zagalna%20serednya/programy-10-11-klas/tech-pr.pdf" TargetMode="External"/><Relationship Id="rId81" Type="http://schemas.openxmlformats.org/officeDocument/2006/relationships/hyperlink" Target="https://mon.gov.ua/storage/app/media/zagalna%20serednya/programy-10-11-klas/hud-kult-st.pdf" TargetMode="External"/><Relationship Id="rId86" Type="http://schemas.openxmlformats.org/officeDocument/2006/relationships/hyperlink" Target="https://mon.gov.ua/storage/app/media/zagalna%20serednya/programy-10-11-klas/kt-m-pr.pdf" TargetMode="External"/><Relationship Id="rId130" Type="http://schemas.openxmlformats.org/officeDocument/2006/relationships/hyperlink" Target="https://mon.gov.ua/storage/app/media/zagalna%20serednya/programy-10-11-klas/kulturoznavstvo-krayini-mova-yakoyi-vivchaetsya.doc" TargetMode="External"/><Relationship Id="rId135" Type="http://schemas.openxmlformats.org/officeDocument/2006/relationships/hyperlink" Target="https://mon.gov.ua/storage/app/media/zagalna%20serednya/programy-10-11-klas/2-isp-pr.pdf" TargetMode="External"/><Relationship Id="rId13" Type="http://schemas.openxmlformats.org/officeDocument/2006/relationships/hyperlink" Target="https://mon.gov.ua/storage/app/media/zagalna%20serednya/programy-10-11-klas/programa-ukrayinska-mova-v-znz-z-molodovskoyu-movoyu-navchannya-riven-standartu.doc" TargetMode="External"/><Relationship Id="rId18" Type="http://schemas.openxmlformats.org/officeDocument/2006/relationships/hyperlink" Target="https://mon.gov.ua/storage/app/media/zagalna%20serednya/programy-10-11-klas/ukr-rus-ak.pdf" TargetMode="External"/><Relationship Id="rId39" Type="http://schemas.openxmlformats.org/officeDocument/2006/relationships/hyperlink" Target="https://mon.gov.ua/storage/app/media/zagalna%20serednya/programy-10-11-klas/prof-riven.pdf" TargetMode="External"/><Relationship Id="rId109" Type="http://schemas.openxmlformats.org/officeDocument/2006/relationships/hyperlink" Target="https://mon.gov.ua/storage/app/media/zagalna%20serednya/programy-10-11-klas/s-ros-mova-riven-standarta-zi-zminami-2016.doc" TargetMode="External"/><Relationship Id="rId34" Type="http://schemas.openxmlformats.org/officeDocument/2006/relationships/hyperlink" Target="https://mon.gov.ua/storage/app/media/zagalna%20serednya/programy-10-11-klas/zarubizhna-akadem.-riven.docx" TargetMode="External"/><Relationship Id="rId50" Type="http://schemas.openxmlformats.org/officeDocument/2006/relationships/hyperlink" Target="https://mon.gov.ua/storage/app/media/zagalna%20serednya/programy-10-11-klas/matematika-pogliblene.docx" TargetMode="External"/><Relationship Id="rId55" Type="http://schemas.openxmlformats.org/officeDocument/2006/relationships/hyperlink" Target="https://mon.gov.ua/storage/app/media/zagalna%20serednya/programy-10-11-klas/kulin.pdf" TargetMode="External"/><Relationship Id="rId76" Type="http://schemas.openxmlformats.org/officeDocument/2006/relationships/hyperlink" Target="https://mon.gov.ua/storage/app/media/zagalna%20serednya/programy-10-11-klas/fizk_pr.doc" TargetMode="External"/><Relationship Id="rId97" Type="http://schemas.openxmlformats.org/officeDocument/2006/relationships/hyperlink" Target="https://mon.gov.ua/storage/app/media/zagalna%20serednya/programy-10-11-klas/ugor-lit-pr.pdf" TargetMode="External"/><Relationship Id="rId104" Type="http://schemas.openxmlformats.org/officeDocument/2006/relationships/hyperlink" Target="https://mon.gov.ua/storage/app/media/zagalna%20serednya/programy-10-11-klas/slovaczka-mova-zi-zminami-2016-r.docx" TargetMode="External"/><Relationship Id="rId120" Type="http://schemas.openxmlformats.org/officeDocument/2006/relationships/hyperlink" Target="https://mon.gov.ua/storage/app/media/zagalna%20serednya/programy-10-11-klas/1-nim-ak.pdf" TargetMode="External"/><Relationship Id="rId125" Type="http://schemas.openxmlformats.org/officeDocument/2006/relationships/hyperlink" Target="https://mon.gov.ua/storage/app/media/zagalna%20serednya/programy-10-11-klas/1-isp-pr.pdf" TargetMode="External"/><Relationship Id="rId7" Type="http://schemas.openxmlformats.org/officeDocument/2006/relationships/image" Target="media/image1.png"/><Relationship Id="rId71" Type="http://schemas.openxmlformats.org/officeDocument/2006/relationships/hyperlink" Target="https://mon.gov.ua/storage/app/media/zagalna%20serednya/programy-10-11-klas/physics-st-20.05.2016.docx" TargetMode="External"/><Relationship Id="rId92" Type="http://schemas.openxmlformats.org/officeDocument/2006/relationships/hyperlink" Target="https://mon.gov.ua/storage/app/media/zagalna%20serednya/programy-10-11-klas/ros_lit_pr.zip"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geo-pr.pdf" TargetMode="External"/><Relationship Id="rId24" Type="http://schemas.openxmlformats.org/officeDocument/2006/relationships/hyperlink" Target="https://mon.gov.ua/storage/app/media/zagalna%20serednya/programy-10-11-klas/bio-ak.pdf" TargetMode="External"/><Relationship Id="rId40" Type="http://schemas.openxmlformats.org/officeDocument/2006/relationships/hyperlink" Target="https://mon.gov.ua/storage/app/media/zagalna%20serednya/programy-10-11-klas/s-stor-ya-ukra-ni-10-11-standart.docx" TargetMode="External"/><Relationship Id="rId45" Type="http://schemas.openxmlformats.org/officeDocument/2006/relationships/hyperlink" Target="https://mon.gov.ua/storage/app/media/zagalna%20serednya/programy-10-11-klas/lud-svit-pr.pdf" TargetMode="External"/><Relationship Id="rId66" Type="http://schemas.openxmlformats.org/officeDocument/2006/relationships/hyperlink" Target="https://mon.gov.ua/storage/app/media/zagalna%20serednya/programy-10-11-klas/vishivka.pdf" TargetMode="External"/><Relationship Id="rId87" Type="http://schemas.openxmlformats.org/officeDocument/2006/relationships/hyperlink" Target="https://mon.gov.ua/storage/app/media/zagalna%20serednya/programy-10-11-klas/bolgarska-literatura-riven-standartu-zi-zminami-2016-r1.doc" TargetMode="External"/><Relationship Id="rId110" Type="http://schemas.openxmlformats.org/officeDocument/2006/relationships/hyperlink" Target="https://mon.gov.ua/storage/app/media/zagalna%20serednya/programy-10-11-klas/a-ros-mova-akademichnij-riven-zi-zminami-2016.doc" TargetMode="External"/><Relationship Id="rId115" Type="http://schemas.openxmlformats.org/officeDocument/2006/relationships/hyperlink" Target="https://mon.gov.ua/storage/app/media/zagalna%20serednya/programy-10-11-klas/ug-m-ak.pdf" TargetMode="External"/><Relationship Id="rId131" Type="http://schemas.openxmlformats.org/officeDocument/2006/relationships/hyperlink" Target="https://mon.gov.ua/storage/app/media/zagalna%20serednya/programy-10-11-klas/literatura-krayini-mova-yakoyi-vivchaetsya.doc" TargetMode="External"/><Relationship Id="rId136" Type="http://schemas.openxmlformats.org/officeDocument/2006/relationships/fontTable" Target="fontTable.xml"/><Relationship Id="rId61" Type="http://schemas.openxmlformats.org/officeDocument/2006/relationships/hyperlink" Target="https://mon.gov.ua/storage/app/media/zagalna%20serednya/programy-10-11-klas/legka-pr.pdf" TargetMode="External"/><Relationship Id="rId82" Type="http://schemas.openxmlformats.org/officeDocument/2006/relationships/hyperlink" Target="https://mon.gov.ua/storage/app/media/zagalna%20serednya/programy-10-11-klas/hud-kul-ak.pdf" TargetMode="External"/><Relationship Id="rId19" Type="http://schemas.openxmlformats.org/officeDocument/2006/relationships/hyperlink" Target="https://mon.gov.ua/storage/app/media/zagalna%20serednya/programy-10-11-klas/ukr-ug-st.pdf" TargetMode="External"/><Relationship Id="rId14" Type="http://schemas.openxmlformats.org/officeDocument/2006/relationships/hyperlink" Target="https://mon.gov.ua/storage/app/media/zagalna%20serednya/programy-10-11-klas/programa.-ukrayinska-mova-v-znz-z-moldovskoyu-movoyu-navchannya.-akademichnij-riven.doc" TargetMode="External"/><Relationship Id="rId30" Type="http://schemas.openxmlformats.org/officeDocument/2006/relationships/hyperlink" Target="https://mon.gov.ua/storage/app/media/zagalna%20serednya/programy-10-11-klas/psiholog.pdf" TargetMode="External"/><Relationship Id="rId35" Type="http://schemas.openxmlformats.org/officeDocument/2006/relationships/hyperlink" Target="https://mon.gov.ua/storage/app/media/zagalna%20serednya/programy-10-11-klas/svit-lit-pr.pdf" TargetMode="External"/><Relationship Id="rId56" Type="http://schemas.openxmlformats.org/officeDocument/2006/relationships/hyperlink" Target="https://mon.gov.ua/storage/app/media/zagalna%20serednya/programy-10-11-klas/diz.pdf" TargetMode="External"/><Relationship Id="rId77" Type="http://schemas.openxmlformats.org/officeDocument/2006/relationships/hyperlink" Target="https://mon.gov.ua/storage/app/media/zagalna%20serednya/programy-10-11-klas/chemistry-st-20.05.2016.doc" TargetMode="External"/><Relationship Id="rId100" Type="http://schemas.openxmlformats.org/officeDocument/2006/relationships/hyperlink" Target="https://mon.gov.ua/storage/app/media/zagalna%20serednya/programy-10-11-klas/mova-ivrit-iz-zminami-2016-r.doc" TargetMode="External"/><Relationship Id="rId105" Type="http://schemas.openxmlformats.org/officeDocument/2006/relationships/hyperlink" Target="https://mon.gov.ua/storage/app/media/zagalna%20serednya/programy-10-11-klas/polska-mova-dlya-znz-z-navchannyam-polskoyu-movoyu-10-11-klasi.pdf" TargetMode="External"/><Relationship Id="rId126" Type="http://schemas.openxmlformats.org/officeDocument/2006/relationships/hyperlink" Target="https://mon.gov.ua/storage/app/media/zagalna%20serednya/programy-10-11-klas/2-inoz.pdf" TargetMode="External"/><Relationship Id="rId8" Type="http://schemas.openxmlformats.org/officeDocument/2006/relationships/image" Target="media/image2.png"/><Relationship Id="rId51" Type="http://schemas.openxmlformats.org/officeDocument/2006/relationships/hyperlink" Target="https://mon.gov.ua/storage/app/media/zagalna%20serednya/programy-10-11-klas/6pravo-10-standart-akadem-chnij-2016-lipen.doc" TargetMode="External"/><Relationship Id="rId72" Type="http://schemas.openxmlformats.org/officeDocument/2006/relationships/hyperlink" Target="https://mon.gov.ua/storage/app/media/zagalna%20serednya/programy-10-11-klas/fizika.poyasnitelnaya-zapiska.pdf" TargetMode="External"/><Relationship Id="rId93" Type="http://schemas.openxmlformats.org/officeDocument/2006/relationships/hyperlink" Target="https://mon.gov.ua/storage/app/media/zagalna%20serednya/programy-10-11-klas/literatura-rumunska-ta-zarubizhna-10-11-klasi.docx" TargetMode="External"/><Relationship Id="rId98" Type="http://schemas.openxmlformats.org/officeDocument/2006/relationships/hyperlink" Target="https://mon.gov.ua/storage/app/media/zagalna%20serednya/programy-10-11-klas/2-3-bolgarska-mova-riven-standartu-zi-zminami-2016-r.doc" TargetMode="External"/><Relationship Id="rId121" Type="http://schemas.openxmlformats.org/officeDocument/2006/relationships/hyperlink" Target="https://mon.gov.ua/storage/app/media/zagalna%20serednya/programy-10-11-klas/1-nim-pr.pdf" TargetMode="External"/><Relationship Id="rId3" Type="http://schemas.openxmlformats.org/officeDocument/2006/relationships/settings" Target="settings.xml"/><Relationship Id="rId25" Type="http://schemas.openxmlformats.org/officeDocument/2006/relationships/hyperlink" Target="https://mon.gov.ua/storage/app/media/zagalna%20serednya/programy-10-11-klas/bio-pr.pdf" TargetMode="External"/><Relationship Id="rId46" Type="http://schemas.openxmlformats.org/officeDocument/2006/relationships/hyperlink" Target="https://mon.gov.ua/storage/app/media/zagalna%20serednya/programy-10-11-klas/fil-pr.pdf" TargetMode="External"/><Relationship Id="rId67" Type="http://schemas.openxmlformats.org/officeDocument/2006/relationships/hyperlink" Target="https://mon.gov.ua/storage/app/media/zagalna%20serednya/programy-10-11-klas/hud-obrobka.pdf" TargetMode="External"/><Relationship Id="rId116" Type="http://schemas.openxmlformats.org/officeDocument/2006/relationships/hyperlink" Target="https://mon.gov.ua/storage/app/media/zagalna%20serednya/programy-10-11-klas/ug-m-pr.pdf" TargetMode="External"/><Relationship Id="rId137" Type="http://schemas.openxmlformats.org/officeDocument/2006/relationships/theme" Target="theme/theme1.xml"/><Relationship Id="rId20" Type="http://schemas.openxmlformats.org/officeDocument/2006/relationships/hyperlink" Target="https://mon.gov.ua/storage/app/media/zagalna%20serednya/programy-10-11-klas/programa.-ukrayinska-mova-v-znz-z-ugorskoyu-movoyu-navchannya.doc" TargetMode="External"/><Relationship Id="rId41" Type="http://schemas.openxmlformats.org/officeDocument/2006/relationships/hyperlink" Target="https://mon.gov.ua/storage/app/media/zagalna%20serednya/programy-10-11-klas/a-a-2-2-stor-ya-ukra-ni-10-11-lipen-2016-akadem-chni-vipravlena.docx" TargetMode="External"/><Relationship Id="rId62" Type="http://schemas.openxmlformats.org/officeDocument/2006/relationships/hyperlink" Target="https://mon.gov.ua/storage/app/media/zagalna%20serednya/programy-10-11-klas/material.pdf" TargetMode="External"/><Relationship Id="rId83" Type="http://schemas.openxmlformats.org/officeDocument/2006/relationships/hyperlink" Target="https://mon.gov.ua/storage/app/media/zagalna%20serednya/programy-10-11-klas/hud-kult-pr.pdf" TargetMode="External"/><Relationship Id="rId88" Type="http://schemas.openxmlformats.org/officeDocument/2006/relationships/hyperlink" Target="https://mon.gov.ua/storage/app/media/zagalna%20serednya/programy-10-11-klas/kt-lit-st.pdf" TargetMode="External"/><Relationship Id="rId111" Type="http://schemas.openxmlformats.org/officeDocument/2006/relationships/hyperlink" Target="https://mon.gov.ua/storage/app/media/zagalna%20serednya/programy-10-11-klas/p-rosijska-mova-profilnij-riven-zi-zminami-2016.doc" TargetMode="External"/><Relationship Id="rId132" Type="http://schemas.openxmlformats.org/officeDocument/2006/relationships/hyperlink" Target="https://mon.gov.ua/storage/app/media/zagalna%20serednya/programy-10-11-klas/programa-gidi-perekladachi.doc" TargetMode="External"/><Relationship Id="rId15" Type="http://schemas.openxmlformats.org/officeDocument/2006/relationships/hyperlink" Target="https://mon.gov.ua/storage/app/media/zagalna%20serednya/programy-10-11-klas/programa.-ukrayinska-mova-v-znz-z-rumunskoyu-movoyu-navchannya.riven-standartu.doc" TargetMode="External"/><Relationship Id="rId36" Type="http://schemas.openxmlformats.org/officeDocument/2006/relationships/hyperlink" Target="https://mon.gov.ua/storage/app/media/zagalna%20serednya/programy-10-11-klas/1-informatika-standart-10-11-final.doc" TargetMode="External"/><Relationship Id="rId57" Type="http://schemas.openxmlformats.org/officeDocument/2006/relationships/hyperlink" Target="https://mon.gov.ua/storage/app/media/zagalna%20serednya/programy-10-11-klas/agro.pdf" TargetMode="External"/><Relationship Id="rId106" Type="http://schemas.openxmlformats.org/officeDocument/2006/relationships/hyperlink" Target="https://mon.gov.ua/storage/app/media/zagalna%20serednya/programy-10-11-klas/pol-m-pr.pdf" TargetMode="External"/><Relationship Id="rId127" Type="http://schemas.openxmlformats.org/officeDocument/2006/relationships/hyperlink" Target="https://mon.gov.ua/storage/app/media/zagalna%20serednya/programy-10-11-klas/2-eng-pr.pdf" TargetMode="External"/><Relationship Id="rId10" Type="http://schemas.openxmlformats.org/officeDocument/2006/relationships/hyperlink" Target="https://mon.gov.ua/storage/app/media/zagalna%20serednya/programy-10-11-klas/ukr-m-ak.pdf" TargetMode="External"/><Relationship Id="rId31" Type="http://schemas.openxmlformats.org/officeDocument/2006/relationships/hyperlink" Target="https://mon.gov.ua/storage/app/media/zagalna%20serednya/programy-10-11-klas/eko-st-ak.pdf" TargetMode="External"/><Relationship Id="rId52" Type="http://schemas.openxmlformats.org/officeDocument/2006/relationships/hyperlink" Target="https://mon.gov.ua/storage/app/media/zagalna%20serednya/programy-10-11-klas/3pravo-10-11-profil-new-lipen-2016.doc" TargetMode="External"/><Relationship Id="rId73" Type="http://schemas.openxmlformats.org/officeDocument/2006/relationships/hyperlink" Target="https://mon.gov.ua/storage/app/media/zagalna%20serednya/programy-10-11-klas/fiz-ak.pdf" TargetMode="External"/><Relationship Id="rId78" Type="http://schemas.openxmlformats.org/officeDocument/2006/relationships/hyperlink" Target="https://mon.gov.ua/storage/app/media/zagalna%20serednya/programy-10-11-klas/himia-ak.pdf" TargetMode="External"/><Relationship Id="rId94" Type="http://schemas.openxmlformats.org/officeDocument/2006/relationships/hyperlink" Target="https://mon.gov.ua/storage/app/media/zagalna%20serednya/programy-10-11-klas/rum-lit-pr.pdf" TargetMode="External"/><Relationship Id="rId99" Type="http://schemas.openxmlformats.org/officeDocument/2006/relationships/hyperlink" Target="https://mon.gov.ua/storage/app/media/zagalna%20serednya/programy-10-11-klas/gagauzka-mova-zi-zminami-2016-r.doc" TargetMode="External"/><Relationship Id="rId101" Type="http://schemas.openxmlformats.org/officeDocument/2006/relationships/hyperlink" Target="https://mon.gov.ua/storage/app/media/zagalna%20serednya/programy-10-11-klas/3-8-moldovska-mova-dlya-zagalnoosvitnix-navchalnix-zakladiv-z-navchannyam-ukrayinskoyu-movoyu.doc" TargetMode="External"/><Relationship Id="rId122" Type="http://schemas.openxmlformats.org/officeDocument/2006/relationships/hyperlink" Target="https://mon.gov.ua/storage/app/media/zagalna%20serednya/programy-10-11-klas/1-fr-ak.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s-programa-ukrayinska-mova.doc" TargetMode="External"/><Relationship Id="rId26" Type="http://schemas.openxmlformats.org/officeDocument/2006/relationships/hyperlink" Target="https://mon.gov.ua/storage/app/media/zagalna%20serednya/programy-10-11-klas/5vsesv-tnya-stor-ya-10-11-standart-akadem-chnij.docx" TargetMode="External"/><Relationship Id="rId47" Type="http://schemas.openxmlformats.org/officeDocument/2006/relationships/hyperlink" Target="https://mon.gov.ua/storage/app/media/zagalna%20serednya/programy-10-11-klas/matematika-riven-standartu.docx" TargetMode="External"/><Relationship Id="rId68" Type="http://schemas.openxmlformats.org/officeDocument/2006/relationships/hyperlink" Target="https://mon.gov.ua/storage/app/media/zagalna%20serednya/programy-10-11-klas/shveina-sp.pdf" TargetMode="External"/><Relationship Id="rId89" Type="http://schemas.openxmlformats.org/officeDocument/2006/relationships/hyperlink" Target="https://mon.gov.ua/storage/app/media/zagalna%20serednya/programy-10-11-klas/kt-lit-pr.pdf" TargetMode="External"/><Relationship Id="rId112" Type="http://schemas.openxmlformats.org/officeDocument/2006/relationships/hyperlink" Target="https://mon.gov.ua/storage/app/media/zagalna%20serednya/programy-10-11-klas/rumunska-mova-dlya-znz-z-navchannyam-rumunskoyu-movoyu-10-11-klasi.doc" TargetMode="External"/><Relationship Id="rId133" Type="http://schemas.openxmlformats.org/officeDocument/2006/relationships/hyperlink" Target="https://mon.gov.ua/storage/app/media/zagalna%20serednya/programy-10-11-klas/2-nim-p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41</Pages>
  <Words>52804</Words>
  <Characters>30099</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Lukashova T.V.</cp:lastModifiedBy>
  <cp:revision>8</cp:revision>
  <dcterms:created xsi:type="dcterms:W3CDTF">2018-04-23T09:29:00Z</dcterms:created>
  <dcterms:modified xsi:type="dcterms:W3CDTF">2018-04-23T10:08:00Z</dcterms:modified>
</cp:coreProperties>
</file>